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VII. BKOrgErl1998Bek</w:t>
      </w:r>
    </w:p>
    <w:p>
      <w:r>
        <w:rPr>
          <w:color w:val="555555"/>
          <w:sz w:val="18"/>
        </w:rPr>
        <w:t xml:space="preserve">Bekanntmachung des Organisationserlasses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Gesundheit wird aus dem Geschäftsbereich des Bundesministeriums für Arbeit und Sozialordnung übertragen die Zuständigkeit für Pflegeversicherung.</w:t>
      </w:r>
    </w:p>
    <w:p>
      <w:r>
        <w:rPr>
          <w:color w:val="555555"/>
          <w:sz w:val="17"/>
        </w:rPr>
        <w:t xml:space="preserve">Zitiervorschlag: VII. BKOrgErl1998Bek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https://recht.nulegal.eu/gesetze/BKOrgErl1998Bek/vii.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