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VI. BKOrgErl1998Bek</w:t>
      </w:r>
    </w:p>
    <w:p>
      <w:r>
        <w:rPr>
          <w:color w:val="555555"/>
          <w:sz w:val="18"/>
        </w:rPr>
        <w:t xml:space="preserve">Bekanntmachung des Organisationserlasses des Bundeskanzlers</w:t>
      </w:r>
    </w:p>
    <w:p>
      <w:r>
        <w:rPr>
          <w:color w:val="555555"/>
          <w:sz w:val="18"/>
        </w:rPr>
        <w:t xml:space="preserve">Stand: 10.06.2019 (konsolidierte Textfassung, kein amtliches Inkrafttretensdatum)</w:t>
      </w:r>
    </w:p>
    <w:p>
      <w:r>
        <w:t xml:space="preserve">Dem Bundesminister für Wirtschaft und Technologie werden aus dem Geschäftsbereich des Bundesministeriums für Bildung und Forschung übertragen die Zuständigkeiten für die indirekte Forschungsförderung, für die Förderung technologieorientierter Unternehmensgründungen und für die angewandte Energieforschung.</w:t>
      </w:r>
    </w:p>
    <w:p>
      <w:r>
        <w:rPr>
          <w:color w:val="555555"/>
          <w:sz w:val="17"/>
        </w:rPr>
        <w:t xml:space="preserve">Zitiervorschlag: VI. BKOrgErl1998Bek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https://recht.nulegal.eu/gesetze/BKOrgErl1998Bek/vi.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VI. BKOrgErl1998Bek</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