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BKOrgErl1998Bek</w:t>
      </w:r>
    </w:p>
    <w:p>
      <w:r>
        <w:rPr>
          <w:color w:val="555555"/>
          <w:sz w:val="18"/>
        </w:rPr>
        <w:t xml:space="preserve">Bekanntmachung des Organisationserlasses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bisherige Bundesministerium für Verkehr und das bisherige Bundesministerium für Raumordnung, Bauwesen und Städtebau werden zu einem neuen Bundesministerium für Verkehr, Bau- und Wohnungswesen zusammengelegt.</w:t>
      </w:r>
    </w:p>
    <w:p>
      <w:r>
        <w:rPr>
          <w:color w:val="555555"/>
          <w:sz w:val="17"/>
        </w:rPr>
        <w:t xml:space="preserve">Zitiervorschlag: I. BKOrgErl1998Bek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https://recht.nulegal.eu/gesetze/BKOrgErl1998Bek/i.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