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II. BKOrgErl1997Bek</w:t>
      </w:r>
    </w:p>
    <w:p>
      <w:r>
        <w:rPr>
          <w:color w:val="555555"/>
          <w:sz w:val="18"/>
        </w:rPr>
        <w:t xml:space="preserve">Bekanntmachung des Organisationserlasses des Bundeskanzlers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Mit Wirkung vom 1. Januar 1998 tritt folgendes in Kraft:</w:t>
      </w:r>
    </w:p>
    <w:p>
      <w:pPr>
        <w:ind w:left="420"/>
      </w:pPr>
      <w:r>
        <w:t xml:space="preserve">1. Dem Bundesministerium der Finanzen werden aus dem Geschäftsbereich des Bundesministeriums für Post und Telekommunikation übertragen:</w:t>
      </w:r>
    </w:p>
    <w:p>
      <w:pPr>
        <w:ind w:left="780"/>
      </w:pPr>
      <w:r>
        <w:t xml:space="preserve">- die Zuständigkeit für die Bundesanstalt für Post und Telekommunikation Deutsche Bundespost, die Museumsstiftung Post und Telekommunikation und die Unfallkasse Post und Telekom,</w:t>
      </w:r>
    </w:p>
    <w:p>
      <w:pPr>
        <w:ind w:left="780"/>
      </w:pPr>
      <w:r>
        <w:t xml:space="preserve">- die beamten- und personalvertretungsrechtlichen Zuständigkeiten für die Beamten der Aktiengesellschaften Deutsche Telekom AG, Deutsche Post AG und Deutsche Postbank AG,</w:t>
      </w:r>
    </w:p>
    <w:p>
      <w:pPr>
        <w:ind w:left="780"/>
      </w:pPr>
      <w:r>
        <w:t xml:space="preserve">- die Befugnis zur Herausgabe von Postwertzeichen.</w:t>
      </w:r>
    </w:p>
    <w:p>
      <w:pPr>
        <w:ind w:left="420"/>
      </w:pPr>
      <w:r>
        <w:t xml:space="preserve">Die der Bundesdruckerei GmbH durch Dienstleistungsüberlassungsvertrag zugeordneten Beamten werden in den Geschäftsbereich des Bundesministeriums der Finanzen übergeleitet.</w:t>
      </w:r>
    </w:p>
    <w:p>
      <w:pPr>
        <w:ind w:left="420"/>
      </w:pPr>
      <w:r>
        <w:t xml:space="preserve">2. Dem Bundesministerium für Wirtschaft werden alle übrigen Zuständigkeiten aus dem Geschäftsbereich des Bundesministeriums für Post und Telekommunikation übertragen.</w:t>
      </w:r>
    </w:p>
    <w:p>
      <w:r>
        <w:rPr>
          <w:color w:val="555555"/>
          <w:sz w:val="17"/>
        </w:rPr>
        <w:t xml:space="preserve">Zitiervorschlag: II. BKOrgErl1997Bek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https://recht.nulegal.eu/gesetze/BKOrgErl1997Bek/ii.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