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BKOrgErl1997Bek</w:t>
      </w:r>
    </w:p>
    <w:p>
      <w:r>
        <w:rPr>
          <w:color w:val="555555"/>
          <w:sz w:val="18"/>
        </w:rPr>
        <w:t xml:space="preserve">Bekanntmachung des Organisationserlasses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Nachstehend mache ich den Organisationserlaß des Bundeskanzlers vom 17. Dezember 1997 bekannt, der mit Wirkung vom gleichen Tage in Kraft tritt:</w:t>
      </w:r>
    </w:p>
    <w:p>
      <w:r>
        <w:rPr>
          <w:color w:val="555555"/>
          <w:sz w:val="17"/>
        </w:rPr>
        <w:t xml:space="preserve">Zitiervorschlag: Eingangsformel BKOrgErl1997Bek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https://recht.nulegal.eu/gesetze/BKOrgErl1997Bek/eingangsformel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