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XVIII. BKOrgErl 2025</w:t>
      </w:r>
    </w:p>
    <w:p>
      <w:r>
        <w:rPr>
          <w:color w:val="555555"/>
          <w:sz w:val="18"/>
        </w:rPr>
        <w:t xml:space="preserve">Organisationserlass des Bundeskanzlers</w:t>
      </w:r>
    </w:p>
    <w:p>
      <w:r>
        <w:rPr>
          <w:color w:val="555555"/>
          <w:sz w:val="18"/>
        </w:rPr>
        <w:t xml:space="preserve">Stand: 10.05.2025 (konsolidierte Textfassung, kein amtliches Inkrafttretensdatum)</w:t>
      </w:r>
    </w:p>
    <w:p>
      <w:r>
        <w:t xml:space="preserve">Alle Zuständigkeitsübertragungen schließen deren europäische und internationale Bezüge sowie die entsprechenden übergeordneten und Querschnittsbereiche wie insbesondere Grundsatz- und Planungsangelegenheiten ein, soweit nicht anders angeordnet.</w:t>
      </w:r>
    </w:p>
    <w:p>
      <w:r>
        <w:t xml:space="preserve">Bei allen Zuständigkeitsübertragungen übertragene Planstellen und Stellen werden mit den Personal- und Sachmitteln entsprechend der vom Bundesministerium der Finanzen festgesetzten Sätze umgesetzt. Dabei wird von einer Vollfinanzierung der Plan-/Stellen ausgegangen. Ausschlaggebend sind jeweils die Ausstattungen der Organisationsbereiche zum 1. Januar 2025.</w:t>
      </w:r>
    </w:p>
    <w:p>
      <w:r>
        <w:t xml:space="preserve">Bei der Errichtung des Bundesministeriums für Digitales und Staatsmodernisierung wird hinsichtlich der Übertragung des notwendigen Overhead-Personals eine feste Quote von 10 Prozent des aufgenommenen Fachpersonals angewandt. In allen anderen Fällen beträgt die feste Quote maximal 5 Prozent.</w:t>
      </w:r>
    </w:p>
    <w:p>
      <w:r>
        <w:t xml:space="preserve">Weitere Einzelheiten des Übergangs werden zwischen den beteiligten Mitgliedern der Bundesregierung geregelt und dem Chef des Bundeskanzleramtes bis zum 1. August 2025 mitgeteilt.</w:t>
      </w:r>
    </w:p>
    <w:p>
      <w:r>
        <w:rPr>
          <w:color w:val="555555"/>
          <w:sz w:val="17"/>
        </w:rPr>
        <w:t xml:space="preserve">Zitiervorschlag: XVIII. BKOrgErl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https://recht.nulegal.eu/gesetze/BKOrgErl%202025/xviii.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