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XV. BKOrgErl 2025</w:t>
      </w:r>
    </w:p>
    <w:p>
      <w:r>
        <w:rPr>
          <w:color w:val="555555"/>
          <w:sz w:val="18"/>
        </w:rPr>
        <w:t xml:space="preserve">Organisationserlass des Bundeskanzlers</w:t>
      </w:r>
    </w:p>
    <w:p>
      <w:r>
        <w:rPr>
          <w:color w:val="555555"/>
          <w:sz w:val="18"/>
        </w:rPr>
        <w:t xml:space="preserve">Stand: 10.05.2025 (konsolidierte Textfassung, kein amtliches Inkrafttretensdatum)</w:t>
      </w:r>
    </w:p>
    <w:p>
      <w:r>
        <w:t xml:space="preserve">Die Funktion der Beauftragten der Bundesregierung für den Berlin-Umzug und den Bonn-Ausgleich fällt weg. Die verbleibenden fachlichen Zuständigkeiten werden im Bundesministerium für Wohnen, Stadtentwicklung und Bauwesen wahrgenommen.</w:t>
      </w:r>
    </w:p>
    <w:p>
      <w:r>
        <w:rPr>
          <w:color w:val="555555"/>
          <w:sz w:val="17"/>
        </w:rPr>
        <w:t xml:space="preserve">Zitiervorschlag: XV. BKOrgErl 2025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https://recht.nulegal.eu/gesetze/BKOrgErl%202025/xv.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