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XIV. BKOrgErl 2025</w:t>
      </w:r>
    </w:p>
    <w:p>
      <w:r>
        <w:rPr>
          <w:color w:val="555555"/>
          <w:sz w:val="18"/>
        </w:rPr>
        <w:t xml:space="preserve">Organisationserlass des Bundeskanzlers</w:t>
      </w:r>
    </w:p>
    <w:p>
      <w:r>
        <w:rPr>
          <w:color w:val="555555"/>
          <w:sz w:val="18"/>
        </w:rPr>
        <w:t xml:space="preserve">Stand: 10.05.2025 (konsolidierte Textfassung, kein amtliches Inkrafttretensdatum)</w:t>
      </w:r>
    </w:p>
    <w:p>
      <w:r>
        <w:t xml:space="preserve">Dem Geschäftsbereich des Bundesministeriums für Wohnen, Stadtentwicklung und Bauwesen werden aus dem Geschäftsbereich des Bundesministeriums für Umwelt, Klimaschutz, Naturschutz und nukleare Sicherheit die Zuständigkeiten für nachhaltige Stadtentwicklung und Strukturwandel sowie Umweltangelegenheiten der Raumordnung, des Baurechts und Flächenverbrauch übertragen.</w:t>
      </w:r>
    </w:p>
    <w:p>
      <w:r>
        <w:rPr>
          <w:color w:val="555555"/>
          <w:sz w:val="17"/>
        </w:rPr>
        <w:t xml:space="preserve">Zitiervorschlag: XIV. BKOrgErl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https://recht.nulegal.eu/gesetze/BKOrgErl%202025/xiv.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