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X. BKOrgErl 2025</w:t>
      </w:r>
    </w:p>
    <w:p>
      <w:r>
        <w:rPr>
          <w:color w:val="555555"/>
          <w:sz w:val="18"/>
        </w:rPr>
        <w:t xml:space="preserve">Organisationserlass des Bundeskanzlers</w:t>
      </w:r>
    </w:p>
    <w:p>
      <w:r>
        <w:rPr>
          <w:color w:val="555555"/>
          <w:sz w:val="18"/>
        </w:rPr>
        <w:t xml:space="preserve">Stand: 10.05.2025 (konsolidierte Textfassung, kein amtliches Inkrafttretensdatum)</w:t>
      </w:r>
    </w:p>
    <w:p>
      <w:r>
        <w:t xml:space="preserve">Dem Bundesministerium für Forschung, Technologie und Raumfahrt werden übertragen</w:t>
      </w:r>
    </w:p>
    <w:p>
      <w:pPr>
        <w:ind w:left="420"/>
      </w:pPr>
      <w:r>
        <w:t xml:space="preserve">1. aus dem Geschäftsbereich des Bundesministeriums für Wirtschaft und Energie die Zuständigkeiten für Raumfahrt einschließlich des Deutschen Zentrums für Luft- und Raumfahrt, Grundsatzfragen der nationalen und internationalen Innovations- und Technologiepolitik, der Entwicklung digitaler Technologien, für die Hightech-Agenda sowie für Gigafactories, SPRIND und Games;</w:t>
      </w:r>
    </w:p>
    <w:p>
      <w:pPr>
        <w:ind w:left="420"/>
      </w:pPr>
      <w:r>
        <w:t xml:space="preserve">2. aus dem Geschäftsbereich des Bundesministeriums für Verkehr die Zuständigkeiten für die Förderung von U-Spaces und Advanced Air Mobility, Erdbeobachtung, Satellitennavigation und -kommunikation sowie die Deutsche Galileo-PRS-Behörde.</w:t>
      </w:r>
    </w:p>
    <w:p>
      <w:r>
        <w:t xml:space="preserve">Die Zuständigkeiten für Quantentechnologien und Kernfusion verbleiben beim Bundesministerium für Forschung, Technologie und Raumfahrt.</w:t>
      </w:r>
    </w:p>
    <w:p>
      <w:r>
        <w:rPr>
          <w:color w:val="555555"/>
          <w:sz w:val="17"/>
        </w:rPr>
        <w:t xml:space="preserve">Zitiervorschlag: X. BKOrgErl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https://recht.nulegal.eu/gesetze/BKOrgErl%202025/x.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