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VII. BKOrgErl 2025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10.05.2025 (konsolidierte Textfassung, kein amtliches Inkrafttretensdatum)</w:t>
      </w:r>
    </w:p>
    <w:p>
      <w:r>
        <w:t xml:space="preserve">Dem Bundesministerium für Landwirtschaft, Ernährung und Heimat werden aus dem Geschäftsbereich des Bundesministeriums des Innern die Zuständigkeiten für gleichwertige Lebensverhältnisse sowie regionale Kultur übertragen.</w:t>
      </w:r>
    </w:p>
    <w:p>
      <w:r>
        <w:rPr>
          <w:color w:val="555555"/>
          <w:sz w:val="17"/>
        </w:rPr>
        <w:t xml:space="preserve">Zitiervorschlag: VII. BKOrgErl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https://recht.nulegal.eu/gesetze/BKOrgErl%202025/vii.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VII. BKOrgErl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