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XI. BKOrgErl 2021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14.12.2021 (konsolidierte Textfassung, kein amtliches Inkrafttretensdatum)</w:t>
      </w:r>
    </w:p>
    <w:p>
      <w:r>
        <w:t xml:space="preserve">Alle Zuständigkeitsübertragungen schließen deren europäische und internationale Bezüge sowie die entsprechenden übergeordneten und Querschnittsbereiche wie insbesondere Grundsatz- und Planungsangelegenheiten ein, soweit nicht anders angeordnet.</w:t>
      </w:r>
    </w:p>
    <w:p>
      <w:r>
        <w:t xml:space="preserve">Die Einzelheiten des Übergangs werden zwischen den beteiligten Mitgliedern der Bundesregierung geregelt und dem Chef des Bundeskanzleramtes mitgeteilt.</w:t>
      </w:r>
    </w:p>
    <w:p>
      <w:r>
        <w:rPr>
          <w:color w:val="555555"/>
          <w:sz w:val="17"/>
        </w:rPr>
        <w:t xml:space="preserve">Zitiervorschlag: XI. BKOrgErl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https://recht.nulegal.eu/gesetze/BKOrgErl%202021/xi.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