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VII. BKOrgErl 2021</w:t>
      </w:r>
    </w:p>
    <w:p>
      <w:r>
        <w:rPr>
          <w:color w:val="555555"/>
          <w:sz w:val="18"/>
        </w:rPr>
        <w:t xml:space="preserve">Organisationserlass des Bundeskanzlers</w:t>
      </w:r>
    </w:p>
    <w:p>
      <w:r>
        <w:rPr>
          <w:color w:val="555555"/>
          <w:sz w:val="18"/>
        </w:rPr>
        <w:t xml:space="preserve">Stand: 14.12.2021 (konsolidierte Textfassung, kein amtliches Inkrafttretensdatum)</w:t>
      </w:r>
    </w:p>
    <w:p>
      <w:r>
        <w:t xml:space="preserve">Dem Bundesministerium für Digitales und Verkehr werden übertragen</w:t>
      </w:r>
    </w:p>
    <w:p>
      <w:pPr>
        <w:ind w:left="420"/>
      </w:pPr>
      <w:r>
        <w:t xml:space="preserve">1. aus dem Geschäftsbereich des Bundesministeriums für Wirtschaft und Klimaschutz die Zuständigkeit für Telekommunikation einschließlich der diesbezüglichen Fach- und Rechtsaufsicht über die Bundesnetzagentur ohne die Zuständigkeiten für den Bereich der Post sowie die Zuständigkeiten für die nationale, europäische und internationale Digitalpolitik ohne die Zuständigkeiten für Start-Ups, die Zuständigkeit für Digitalgipfel liegt zukünftig in gemeinsamer Zuständigkeit;</w:t>
      </w:r>
    </w:p>
    <w:p>
      <w:pPr>
        <w:ind w:left="420"/>
      </w:pPr>
      <w:r>
        <w:t xml:space="preserve">2. aus dem Geschäftsbereich des Bundeskanzleramtes die Zuständigkeiten für operative Vorhaben der Digitalpolitik.</w:t>
      </w:r>
    </w:p>
    <w:p>
      <w:r>
        <w:rPr>
          <w:color w:val="555555"/>
          <w:sz w:val="17"/>
        </w:rPr>
        <w:t xml:space="preserve">Zitiervorschlag: VII. BKOrgErl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https://recht.nulegal.eu/gesetze/BKOrgErl%202021/vii.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