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VI. BKOrgErl 2021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14.12.2021 (konsolidierte Textfassung, kein amtliches Inkrafttretensdatum)</w:t>
      </w:r>
    </w:p>
    <w:p>
      <w:r>
        <w:t xml:space="preserve">Dem Bundesministerium der Justiz werden aus dem Geschäftsbereich des Bundeskanzleramtes die Zuständigkeiten für die Geschäftsstelle für Bürokratieabbau, für bessere Rechtsetzung und für den Nationalen Normenkontrollrat übertragen.</w:t>
      </w:r>
    </w:p>
    <w:p>
      <w:r>
        <w:rPr>
          <w:color w:val="555555"/>
          <w:sz w:val="17"/>
        </w:rPr>
        <w:t xml:space="preserve">Zitiervorschlag: VI. BKOrgErl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https://recht.nulegal.eu/gesetze/BKOrgErl%202021/vi.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