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Dem Bundesministerium für Wirtschaft und Klimaschutz wird übertragen</w:t>
      </w:r>
    </w:p>
    <w:p>
      <w:pPr>
        <w:ind w:left="420"/>
      </w:pPr>
      <w:r>
        <w:t xml:space="preserve">1. aus dem Geschäftsbereich des Bundesministeriums für Digitales und Verkehr die Zuständigkeit für Games;</w:t>
      </w:r>
    </w:p>
    <w:p>
      <w:pPr>
        <w:ind w:left="420"/>
      </w:pPr>
      <w:r>
        <w:t xml:space="preserve">2. aus dem Geschäftsbereich des Bundesministeriums für Umwelt, Naturschutz, nukleare Sicherheit und Verbraucherschutz die Zuständigkeit für Klimaschutz einschließlich deren europäische und internationale Bezüge mit Ausnahme der internationalen Klimapolitik.</w:t>
      </w:r>
    </w:p>
    <w:p>
      <w:r>
        <w:rPr>
          <w:color w:val="555555"/>
          <w:sz w:val="17"/>
        </w:rPr>
        <w:t xml:space="preserve">Zitiervorschlag: III.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