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VI. BKOrgErl 2018</w:t>
      </w:r>
    </w:p>
    <w:p>
      <w:r>
        <w:rPr>
          <w:color w:val="555555"/>
          <w:sz w:val="18"/>
        </w:rPr>
        <w:t xml:space="preserve">Organisationserlass der Bundeskanzlerin</w:t>
      </w:r>
    </w:p>
    <w:p>
      <w:r>
        <w:rPr>
          <w:color w:val="555555"/>
          <w:sz w:val="18"/>
        </w:rPr>
        <w:t xml:space="preserve">Stand: 10.06.2019 (konsolidierte Textfassung, kein amtliches Inkrafttretensdatum)</w:t>
      </w:r>
    </w:p>
    <w:p>
      <w:r>
        <w:t xml:space="preserve">Die Einzelheiten des Übergangs werden zwischen den beteiligten Mitgliedern der Bundesregierung geregelt und dem Chef des Bundeskanzleramtes mitgeteilt.</w:t>
      </w:r>
    </w:p>
    <w:p>
      <w:r>
        <w:t xml:space="preserve">Der Übergang der Zuständigkeiten unter Ziffer III.1. entspricht dabei im Mengengerüst der Vereinbarung vom 22. Mai 2014 zwischen dem Bundesministerium für Umwelt, Naturschutz, Bau und Reaktorsicherheit und dem Bundesministerium für Verkehr und digitale Infrastruktur zur Umsetzung des Organisationserlasses der Bundeskanzlerin vom 17. Dezember 2013.</w:t>
      </w:r>
    </w:p>
    <w:p>
      <w:r>
        <w:rPr>
          <w:color w:val="555555"/>
          <w:sz w:val="17"/>
        </w:rPr>
        <w:t xml:space="preserve">Zitiervorschlag: VI. BKOrgErl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https://recht.nulegal.eu/gesetze/BKOrgErl%202018/vi.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