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BKOrgErl 2018</w:t>
      </w:r>
    </w:p>
    <w:p>
      <w:r>
        <w:rPr>
          <w:color w:val="555555"/>
          <w:sz w:val="18"/>
        </w:rPr>
        <w:t xml:space="preserve">Organisationserlass der Bundeskanzlerin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des Innern erhält die Bezeichnung Bundesministerium des Innern, für Bau und Heimat.</w:t>
      </w:r>
    </w:p>
    <w:p>
      <w:r>
        <w:rPr>
          <w:color w:val="555555"/>
          <w:sz w:val="17"/>
        </w:rPr>
        <w:t xml:space="preserve">Zitiervorschlag: II. BKOrgErl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https://recht.nulegal.eu/gesetze/BKOrgErl%202018/ii.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