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I. BKOrgErl 2018</w:t>
      </w:r>
    </w:p>
    <w:p>
      <w:r>
        <w:rPr>
          <w:color w:val="555555"/>
          <w:sz w:val="18"/>
        </w:rPr>
        <w:t xml:space="preserve">Organisationserlass der Bundeskanzlerin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Umwelt, Naturschutz, Bau und Reaktorsicherheit erhält die Bezeichnung Bundesministerium für Umwelt, Naturschutz und nukleare Sicherheit.</w:t>
      </w:r>
    </w:p>
    <w:p>
      <w:r>
        <w:rPr>
          <w:color w:val="555555"/>
          <w:sz w:val="17"/>
        </w:rPr>
        <w:t xml:space="preserve">Zitiervorschlag: I. BKOrgErl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https://recht.nulegal.eu/gesetze/BKOrgErl%202018/i.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