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VI. BKOrgErl 2013</w:t>
      </w:r>
    </w:p>
    <w:p>
      <w:r>
        <w:rPr>
          <w:color w:val="555555"/>
          <w:sz w:val="18"/>
        </w:rPr>
        <w:t xml:space="preserve">Organisationserlass der Bundeskanzlerin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Einzelheiten des Übergangs werden zwischen den beteiligten Mitgliedern der Bundesregierung geregelt und dem Chef des Bundeskanzleramtes mitgeteilt.</w:t>
      </w:r>
    </w:p>
    <w:p>
      <w:r>
        <w:rPr>
          <w:color w:val="555555"/>
          <w:sz w:val="17"/>
        </w:rPr>
        <w:t xml:space="preserve">Zitiervorschlag: VI. BKOrgErl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https://recht.nulegal.eu/gesetze/BKOrgErl%202013/vi.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