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V. BKOrgErl 2013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Umwelt, Naturschutz, Bau und Reaktorsicherheit werden aus dem Geschäftsbereich des Bundesministeriums für Verkehr und digitale Infrastruktur die Zuständigkeiten für</w:t>
      </w:r>
    </w:p>
    <w:p>
      <w:pPr>
        <w:ind w:left="420"/>
      </w:pPr>
      <w:r>
        <w:t xml:space="preserve">1. Bauwesen, Bauwirtschaft und Bundesbauten;</w:t>
      </w:r>
    </w:p>
    <w:p>
      <w:pPr>
        <w:ind w:left="420"/>
      </w:pPr>
      <w:r>
        <w:t xml:space="preserve">2. Stadtentwicklung, Wohnen, Ländliche Infrastruktur und öffentliches Baurecht übertragen.</w:t>
      </w:r>
    </w:p>
    <w:p>
      <w:r>
        <w:t xml:space="preserve">Die Zuständigkeitsübertragung schließt deren europäische und internationale Bezüge sowie die Grundsatz- und Planungsangelegenheiten ein.</w:t>
      </w:r>
    </w:p>
    <w:p>
      <w:r>
        <w:rPr>
          <w:color w:val="555555"/>
          <w:sz w:val="17"/>
        </w:rPr>
        <w:t xml:space="preserve">Zitiervorschlag: V. BKOrgErl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https://recht.nulegal.eu/gesetze/BKOrgErl%202013/v.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