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IV. BKOrgErl 2013</w:t>
      </w:r>
    </w:p>
    <w:p>
      <w:r>
        <w:rPr>
          <w:color w:val="555555"/>
          <w:sz w:val="18"/>
        </w:rPr>
        <w:t xml:space="preserve">Organisationserlass der Bundeskanzlerin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Dem Bundesministerium für Verkehr und digitale Infrastruktur werden aus dem Geschäftsbereich des Bundesministeriums für Wirtschaft und Energie die Zuständigkeiten übertragen für</w:t>
      </w:r>
    </w:p>
    <w:p>
      <w:pPr>
        <w:ind w:left="420"/>
      </w:pPr>
      <w:r>
        <w:t xml:space="preserve">1. TK-Wirtschaft, Breitbandstrategie,</w:t>
      </w:r>
    </w:p>
    <w:p>
      <w:pPr>
        <w:ind w:left="420"/>
      </w:pPr>
      <w:r>
        <w:t xml:space="preserve">2. Telekommunikationsrecht</w:t>
      </w:r>
    </w:p>
    <w:p>
      <w:r>
        <w:t xml:space="preserve">einschließlich der diesbezüglichen Fachaufsicht über die Bundesnetzagentur. Die Aufsicht über die Bundesnetzagentur im Übrigen verbleibt beim Bundesministerium für Wirtschaft und Energie.</w:t>
      </w:r>
    </w:p>
    <w:p>
      <w:r>
        <w:t xml:space="preserve">Die Zuständigkeitsübertragung schließt deren europäische und internationale Bezüge sowie die Grundsatz- und Planungsangelegenheiten ein.</w:t>
      </w:r>
    </w:p>
    <w:p>
      <w:r>
        <w:rPr>
          <w:color w:val="555555"/>
          <w:sz w:val="17"/>
        </w:rPr>
        <w:t xml:space="preserve">Zitiervorschlag: IV. BKOrgErl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https://recht.nulegal.eu/gesetze/BKOrgErl%202013/iv.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