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III. BKOrgErl 2013</w:t>
      </w:r>
    </w:p>
    <w:p>
      <w:r>
        <w:rPr>
          <w:color w:val="555555"/>
          <w:sz w:val="18"/>
        </w:rPr>
        <w:t xml:space="preserve">Organisationserlass der Bundeskanzlerin</w:t>
      </w:r>
    </w:p>
    <w:p>
      <w:r>
        <w:rPr>
          <w:color w:val="555555"/>
          <w:sz w:val="18"/>
        </w:rPr>
        <w:t xml:space="preserve">Stand: 10.06.2019 (konsolidierte Textfassung, kein amtliches Inkrafttretensdatum)</w:t>
      </w:r>
    </w:p>
    <w:p>
      <w:r>
        <w:t xml:space="preserve">Dem Bundesministerium der Justiz und für Verbraucherschutz wird aus dem Geschäftsbereich des Bundesministeriums für Ernährung und Landwirtschaft die Zuständigkeit für Verbraucherpolitik übertragen. Der Verbraucherschutz im Bereich Ernährung und Lebensmittel verbleibt im Bundesministerium für Ernährung und Landwirtschaft.</w:t>
      </w:r>
    </w:p>
    <w:p>
      <w:r>
        <w:t xml:space="preserve">Die Zuständigkeitsübertragung schließt deren europäische und internationale Bezüge sowie die Grundsatz- und Planungsangelegenheiten ein.</w:t>
      </w:r>
    </w:p>
    <w:p>
      <w:r>
        <w:rPr>
          <w:color w:val="555555"/>
          <w:sz w:val="17"/>
        </w:rPr>
        <w:t xml:space="preserve">Zitiervorschlag: III. BKOrgErl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https://recht.nulegal.eu/gesetze/BKOrgErl%202013/iii.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