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BKOrgErl 2013</w:t>
      </w:r>
    </w:p>
    <w:p>
      <w:r>
        <w:rPr>
          <w:color w:val="555555"/>
          <w:sz w:val="18"/>
        </w:rPr>
        <w:t xml:space="preserve">Organisationserlass der Bundeskanzlerin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Bundesministerium für Wirtschaft und Energie werden übertragen</w:t>
      </w:r>
    </w:p>
    <w:p>
      <w:pPr>
        <w:ind w:left="420"/>
      </w:pPr>
      <w:r>
        <w:t xml:space="preserve">1. aus dem Geschäftsbereich des Bundesministeriums des Innern die Zuständigkeit des Beauftragten der Bundesregierung für die neuen Bundesländer;</w:t>
      </w:r>
    </w:p>
    <w:p>
      <w:pPr>
        <w:ind w:left="420"/>
      </w:pPr>
      <w:r>
        <w:t xml:space="preserve">2. aus dem Geschäftsbereich des Bundesministeriums für Verkehr und digitale Infrastruktur die Zuständigkeiten für Energieeinsparung;</w:t>
      </w:r>
    </w:p>
    <w:p>
      <w:pPr>
        <w:ind w:left="420"/>
      </w:pPr>
      <w:r>
        <w:t xml:space="preserve">3. aus dem Geschäftsbereich des Bundesministeriums für Umwelt, Naturschutz, Bau und Reaktorsicherheit die Zuständigkeiten für die Energiewende einschließlich der mit der Energiewende verbundenen Aspekte des Klimaschutzes.</w:t>
      </w:r>
    </w:p>
    <w:p>
      <w:r>
        <w:t xml:space="preserve">Die Zuständigkeitsübertragungen schließen deren europäische und internationale Bezüge sowie die Grundsatz- und Planungsangelegenheiten ein.</w:t>
      </w:r>
    </w:p>
    <w:p>
      <w:r>
        <w:rPr>
          <w:color w:val="555555"/>
          <w:sz w:val="17"/>
        </w:rPr>
        <w:t xml:space="preserve">Zitiervorschlag: II. BKOrgErl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https://recht.nulegal.eu/gesetze/BKOrgErl%202013/ii.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