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I. BKOrgErl 2013</w:t>
      </w:r>
    </w:p>
    <w:p>
      <w:r>
        <w:rPr>
          <w:color w:val="555555"/>
          <w:sz w:val="18"/>
        </w:rPr>
        <w:t xml:space="preserve">Organisationserlass der Bundeskanzlerin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erhalten</w:t>
      </w:r>
    </w:p>
    <w:p>
      <w:pPr>
        <w:ind w:left="420"/>
      </w:pPr>
      <w:r>
        <w:t xml:space="preserve">1. das Bundesministerium für Wirtschaft und Technologie die Bezeichnung Bundesministerium für Wirtschaft und Energie;</w:t>
      </w:r>
    </w:p>
    <w:p>
      <w:pPr>
        <w:ind w:left="420"/>
      </w:pPr>
      <w:r>
        <w:t xml:space="preserve">2. das Bundesministerium der Justiz die Bezeichnung Bundesministerium der Justiz und für Verbraucherschutz;</w:t>
      </w:r>
    </w:p>
    <w:p>
      <w:pPr>
        <w:ind w:left="420"/>
      </w:pPr>
      <w:r>
        <w:t xml:space="preserve">3. das Bundesministerium für Ernährung, Landwirtschaft und Verbraucherschutz die Bezeichnung Bundesministerium für Ernährung und Landwirtschaft;</w:t>
      </w:r>
    </w:p>
    <w:p>
      <w:pPr>
        <w:ind w:left="420"/>
      </w:pPr>
      <w:r>
        <w:t xml:space="preserve">4. das Bundesministerium für Verkehr, Bau und Stadtentwicklung die Bezeichnung Bundesministerium für Verkehr und digitale Infrastruktur;</w:t>
      </w:r>
    </w:p>
    <w:p>
      <w:pPr>
        <w:ind w:left="420"/>
      </w:pPr>
      <w:r>
        <w:t xml:space="preserve">5. das Bundesministerium für Umwelt, Naturschutz und Reaktorsicherheit die Bezeichnung Bundesministerium für Umwelt, Naturschutz, Bau und Reaktorsicherheit.</w:t>
      </w:r>
    </w:p>
    <w:p>
      <w:r>
        <w:rPr>
          <w:color w:val="555555"/>
          <w:sz w:val="17"/>
        </w:rPr>
        <w:t xml:space="preserve">Zitiervorschlag: I. BKOrgErl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https://recht.nulegal.eu/gesetze/BKOrgErl%202013/i.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