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IV. BKOrgErl 2005</w:t>
      </w:r>
    </w:p>
    <w:p>
      <w:r>
        <w:rPr>
          <w:color w:val="555555"/>
          <w:sz w:val="18"/>
        </w:rPr>
        <w:t xml:space="preserve">Organisationserlass der Bundeskanzlerin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Aus dem Geschäftsbereich des Bundesministeriums für Familie, Senioren, Frauen und Jugend wird dem Bundeskanzleramt die Beauftragte der Bundesregierung für Migration, Flüchtlinge und Integration zugeordnet, die Aufgabe von einer Staatsministerin wahrgenommen.</w:t>
      </w:r>
    </w:p>
    <w:p>
      <w:r>
        <w:rPr>
          <w:color w:val="555555"/>
          <w:sz w:val="17"/>
        </w:rPr>
        <w:t xml:space="preserve">Zitiervorschlag: IV. BKOrgErl 2005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https://recht.nulegal.eu/gesetze/BKOrgErl%202005/iv.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