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BKOrgErl 2005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Es erhalten</w:t>
      </w:r>
    </w:p>
    <w:p>
      <w:pPr>
        <w:ind w:left="780"/>
      </w:pPr>
      <w:r>
        <w:t xml:space="preserve">a) das Bundesministerium für Wirtschaft und Arbeit die Bezeichnung Bundesministerium für Wirtschaft und Technologie;</w:t>
      </w:r>
    </w:p>
    <w:p>
      <w:pPr>
        <w:ind w:left="780"/>
      </w:pPr>
      <w:r>
        <w:t xml:space="preserve">b) das Bundesministerium für Verbraucherschutz, Ernährung und Landwirtschaft die Bezeichnung Bundesministerium für Ernährung, Landwirtschaft und Verbraucherschutz;</w:t>
      </w:r>
    </w:p>
    <w:p>
      <w:pPr>
        <w:ind w:left="780"/>
      </w:pPr>
      <w:r>
        <w:t xml:space="preserve">c) das Bundesministerium für Gesundheit und Soziale Sicherung die Bezeichnung Bundesministerium für Gesundheit;</w:t>
      </w:r>
    </w:p>
    <w:p>
      <w:pPr>
        <w:ind w:left="780"/>
      </w:pPr>
      <w:r>
        <w:t xml:space="preserve">d) das Bundesministerium für Verkehr, Bau- und Wohnungswesen die Bezeichnung Bundesministerium für Verkehr, Bau und Stadtentwicklung.</w:t>
      </w:r>
    </w:p>
    <w:p>
      <w:pPr>
        <w:ind w:left="420"/>
      </w:pPr>
      <w:r>
        <w:t xml:space="preserve">2. Es wird ein Bundesministerium für Arbeit und Soziales gebildet.</w:t>
      </w:r>
    </w:p>
    <w:p>
      <w:pPr>
        <w:ind w:left="420"/>
      </w:pPr>
      <w:r>
        <w:t xml:space="preserve">3. Der Chef des Bundeskanzleramtes wird zum Bundesminister für besondere Aufgaben bestellt.</w:t>
      </w:r>
    </w:p>
    <w:p>
      <w:r>
        <w:rPr>
          <w:color w:val="555555"/>
          <w:sz w:val="17"/>
        </w:rPr>
        <w:t xml:space="preserve">Zitiervorschlag: I. BKOrgErl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https://recht.nulegal.eu/gesetze/BKOrgErl%202005/i.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