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Schlussformel BKOrgErl 2004</w:t>
      </w:r>
    </w:p>
    <w:p>
      <w:r>
        <w:rPr>
          <w:color w:val="555555"/>
          <w:sz w:val="18"/>
        </w:rPr>
        <w:t xml:space="preserve">Organisationserlass des Bundeskanzlers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Bundeskanzler</w:t>
      </w:r>
    </w:p>
    <w:p>
      <w:r>
        <w:rPr>
          <w:color w:val="555555"/>
          <w:sz w:val="17"/>
        </w:rPr>
        <w:t xml:space="preserve">Zitiervorschlag: Schlussformel BKOrgErl 2004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https://recht.nulegal.eu/gesetze/BKOrgErl%202004/schlussformel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