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VIII. BKOrgErl 2002</w:t>
      </w:r>
    </w:p>
    <w:p>
      <w:r>
        <w:rPr>
          <w:color w:val="555555"/>
          <w:sz w:val="18"/>
        </w:rPr>
        <w:t xml:space="preserve">Organisationserlass des Bundeskanzlers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Einzelheiten des Übergangs werden zwischen den beteiligten Mitgliedern der Bundesregierung in Abstimmung mit dem Chef des Bundeskanzleramtes geregelt.</w:t>
      </w:r>
    </w:p>
    <w:p>
      <w:r>
        <w:rPr>
          <w:color w:val="555555"/>
          <w:sz w:val="17"/>
        </w:rPr>
        <w:t xml:space="preserve">Zitiervorschlag: VIII. BKOrgErl 2002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https://recht.nulegal.eu/gesetze/BKOrgErl%202002/viii.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