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VI. BKOrgErl 2002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Bundesministerium für Umwelt, Naturschutz und Reaktorsicherheit werden übertragen:</w:t>
      </w:r>
    </w:p>
    <w:p>
      <w:pPr>
        <w:ind w:left="420"/>
      </w:pPr>
      <w:r>
        <w:t xml:space="preserve">1. aus dem Geschäftsbereich des Bundesministeriums für Wirtschaft und Arbeit</w:t>
      </w:r>
    </w:p>
    <w:p>
      <w:pPr>
        <w:ind w:left="780"/>
      </w:pPr>
      <w:r>
        <w:t xml:space="preserve">a) die Zuständigkeiten für die Markteinführung der erneuerbaren Energieträger und für die Energieforschung im Bereich der erneuerbaren Energieträger;</w:t>
      </w:r>
    </w:p>
    <w:p>
      <w:pPr>
        <w:ind w:left="780"/>
      </w:pPr>
      <w:r>
        <w:t xml:space="preserve">b) die Federführung für das Erneuerbare Energien-Gesetz (EEG) und dessen Fortentwicklung unter entsprechender Anwendung der bisherigen Beteiligungsregelungen.</w:t>
      </w:r>
    </w:p>
    <w:p>
      <w:pPr>
        <w:ind w:left="420"/>
      </w:pPr>
      <w:r>
        <w:t xml:space="preserve">Die Zuständigkeit für außenwirtschaftliche Fragen bei erneuerbaren Energien (insbesondere Exportförderung) liegt weiterhin beim Bundesministerium für Wirtschaft und Arbeit.</w:t>
      </w:r>
    </w:p>
    <w:p>
      <w:pPr>
        <w:ind w:left="420"/>
      </w:pPr>
      <w:r>
        <w:t xml:space="preserve">2. aus dem Geschäftsbereich des Bundesministeriums der Finanzen die Zuständigkeit für die "Deutsche Bundesstiftung Umwelt.</w:t>
      </w:r>
    </w:p>
    <w:p>
      <w:r>
        <w:rPr>
          <w:color w:val="555555"/>
          <w:sz w:val="17"/>
        </w:rPr>
        <w:t xml:space="preserve">Zitiervorschlag: VI. BKOrgErl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https://recht.nulegal.eu/gesetze/BKOrgErl%202002/vi.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