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III. BKOrgErl 2002</w:t>
      </w:r>
    </w:p>
    <w:p>
      <w:r>
        <w:rPr>
          <w:color w:val="555555"/>
          <w:sz w:val="18"/>
        </w:rPr>
        <w:t xml:space="preserve">Organisationserlass des Bundeskanzlers</w:t>
      </w:r>
    </w:p>
    <w:p>
      <w:r>
        <w:rPr>
          <w:color w:val="555555"/>
          <w:sz w:val="18"/>
        </w:rPr>
        <w:t xml:space="preserve">Stand: 10.06.2019 (konsolidierte Textfassung, kein amtliches Inkrafttretensdatum)</w:t>
      </w:r>
    </w:p>
    <w:p>
      <w:r>
        <w:t xml:space="preserve">Die federführende Zuständigkeit für den Aufgabenbereich Gentechnik wird vom Bundesministerium für Gesundheit und Soziale Sicherung auf das Bundesministerium für Verbraucherschutz, Ernährung und Landwirtschaft übertragen, damit auch die federführende Zuständigkeit für das Gentechnikgesetz. Davon unberührt bleibt die Zuständigkeit für medizinische Fragen, insbesondere das Arzneimittelwesen.</w:t>
      </w:r>
    </w:p>
    <w:p>
      <w:r>
        <w:rPr>
          <w:color w:val="555555"/>
          <w:sz w:val="17"/>
        </w:rPr>
        <w:t xml:space="preserve">Zitiervorschlag: III. BKOrgErl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https://recht.nulegal.eu/gesetze/BKOrgErl%202002/iii.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