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Dazu werden ihm aus dem Geschäftsbereich des Bundesministeriums der Finanzen unter teilweiser Aufhebung des Organisationserlasses des Bundeskanzlers vom 27. Oktober 1998 (BGBl. I S. 3288), Ziffer V, übertragen die Zuständigkeiten für:</w:t>
      </w:r>
    </w:p>
    <w:p>
      <w:pPr>
        <w:ind w:left="780"/>
      </w:pPr>
      <w:r>
        <w:t xml:space="preserve">a) den Jahreswirtschaftsbericht, den Konjunkturrat für die öffentliche Hand, die wirtschaftswissenschaftlichen Forschungsinstitute und den Sachverständigenrat für die Beurteilung der gesamtwirtschaftlichen Entwicklung;</w:t>
      </w:r>
    </w:p>
    <w:p>
      <w:pPr>
        <w:ind w:left="780"/>
      </w:pPr>
      <w:r>
        <w:t xml:space="preserve">b) gesamtwirtschaftliche Analysen und Projektionen, Wirtschaftsstatistik;</w:t>
      </w:r>
    </w:p>
    <w:p>
      <w:pPr>
        <w:ind w:left="780"/>
      </w:pPr>
      <w:r>
        <w:t xml:space="preserve">c) institutionelle Fragen der OECD aus dem Bereich Außenwirtschaftspolitik (ohne Haushalt der OECD).</w:t>
      </w:r>
    </w:p>
    <w:p>
      <w:pPr>
        <w:ind w:left="420"/>
      </w:pPr>
      <w:r>
        <w:t xml:space="preserve">Dabei bleiben die Zuständigkeiten des Bundesministeriums für wirtschaftliche Zusammenarbeit und Entwicklung unberührt.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I.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