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(XXXX) BKOrgErl 2001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Gemäß § 9 der Geschäftsordnung der Bundesregierung ordne ich mit sofortiger Wirkung an:</w:t>
      </w:r>
    </w:p>
    <w:p>
      <w:pPr>
        <w:ind w:left="420"/>
      </w:pPr>
      <w:r>
        <w:t xml:space="preserve">I. Das Bundesministerium für Ernährung, Landwirtschaft und Forsten wird zu einem Bundesministerium für Verbraucherschutz, Ernährung und Landwirtschaft umgebildet.</w:t>
      </w:r>
    </w:p>
    <w:p>
      <w:pPr>
        <w:ind w:left="420"/>
      </w:pPr>
      <w:r>
        <w:t xml:space="preserve">II. Dazu werden ihm übertragen</w:t>
      </w:r>
    </w:p>
    <w:p>
      <w:pPr>
        <w:ind w:left="780"/>
      </w:pPr>
      <w:r>
        <w:t xml:space="preserve">- aus dem Geschäftsbereich des Bundesministeriums für Gesundheit die Zuständigkeiten für Verbraucherschutz (Abteilung 4) mit der Unterabteilung 41 (Lebensmittel und Bedarfsgegenstände) und der Unterabteilung 42 (Veterinärmedizin);ausgenommen sind die Zuständigkeiten</w:t>
      </w:r>
    </w:p>
    <w:p>
      <w:pPr>
        <w:ind w:left="1140"/>
      </w:pPr>
      <w:r>
        <w:t xml:space="preserve">- für Chemikaliensicherheit (Referat 417),</w:t>
      </w:r>
    </w:p>
    <w:p>
      <w:pPr>
        <w:ind w:left="1140"/>
      </w:pPr>
      <w:r>
        <w:t xml:space="preserve">- für die Zulassung von Tierarzneimitteln und das Berufsrecht der Veterinäre und sonstigen veterinärmedizinischen Berufe (Referat 425);</w:t>
      </w:r>
    </w:p>
    <w:p>
      <w:pPr>
        <w:ind w:left="780"/>
      </w:pPr>
      <w:r>
        <w:t xml:space="preserve">- aus dem Geschäftsbereich des Bundesministeriums für Wirtschaft und Technologie die Zuständigkeit für Verbraucherpolitik einschließlich Stiftung Warentest (Referat I B 4).</w:t>
      </w:r>
    </w:p>
    <w:p>
      <w:pPr>
        <w:ind w:left="420"/>
      </w:pPr>
      <w:r>
        <w:t xml:space="preserve">III. Das Bundesinstitut für gesundheitlichen Verbraucherschutz und Veterinärmedizin (BgVV) wird in den Geschäftsbereich des Bundesministeriums für Verbraucherschutz, Ernährung und Landwirtschaft verlagert.</w:t>
      </w:r>
    </w:p>
    <w:p>
      <w:pPr>
        <w:ind w:left="420"/>
      </w:pPr>
      <w:r>
        <w:t xml:space="preserve">IV. Die weiteren Einzelheiten des Übergangs werden zwischen den beteiligten Bundesministerien in Abstimmung mit dem Chef des Bundeskanzleramtes geregelt.</w:t>
      </w:r>
    </w:p>
    <w:p>
      <w:r>
        <w:t xml:space="preserve">Der Bundeskanzler</w:t>
      </w:r>
    </w:p>
    <w:p>
      <w:r>
        <w:rPr>
          <w:color w:val="555555"/>
          <w:sz w:val="17"/>
        </w:rPr>
        <w:t xml:space="preserve">Zitiervorschlag: (XXXX) BKOrgErl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https://recht.nulegal.eu/gesetze/BKOrgErl%202001/(xxxx)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(XXXX) BKOrgErl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