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V. BKOrgErl 1991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Übertragung der Zuständigkeiten ergeht gesonderter Erlaß.</w:t>
      </w:r>
    </w:p>
    <w:p>
      <w:r>
        <w:rPr>
          <w:color w:val="555555"/>
          <w:sz w:val="17"/>
        </w:rPr>
        <w:t xml:space="preserve">Zitiervorschlag: V. BKOrgErl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https://recht.nulegal.eu/gesetze/BKOrgErl%201991/v.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