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IV. BKOrgErl 1991</w:t>
      </w:r>
    </w:p>
    <w:p>
      <w:r>
        <w:rPr>
          <w:color w:val="555555"/>
          <w:sz w:val="18"/>
        </w:rPr>
        <w:t xml:space="preserve">Organisationserlaß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innerdeutsche Beziehungen wird aufgelöst. Die personellen und sachlichen Mittel des Ministeriums werden wie folgt übertragen:</w:t>
      </w:r>
    </w:p>
    <w:p>
      <w:pPr>
        <w:ind w:left="420"/>
      </w:pPr>
      <w:r>
        <w:t xml:space="preserve">- auf das Bundesministerium für Familie und Senioren die Unterabteilung Z A;</w:t>
      </w:r>
    </w:p>
    <w:p>
      <w:pPr>
        <w:ind w:left="420"/>
      </w:pPr>
      <w:r>
        <w:t xml:space="preserve">- auf das Bundesministerium des Innern alle übrigen personellen und materiellen Mittel.</w:t>
      </w:r>
    </w:p>
    <w:p>
      <w:r>
        <w:rPr>
          <w:color w:val="555555"/>
          <w:sz w:val="17"/>
        </w:rPr>
        <w:t xml:space="preserve">Zitiervorschlag: IV. BKOrgErl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https://recht.nulegal.eu/gesetze/BKOrgErl%201991/iv.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IV. BKOrgErl 1991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