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BKOrgErl 1991-01</w:t>
      </w:r>
    </w:p>
    <w:p>
      <w:r>
        <w:rPr>
          <w:color w:val="555555"/>
          <w:sz w:val="18"/>
        </w:rPr>
        <w:t xml:space="preserve">Organisationserlaß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Bundesministerium für Familie und Senioren wird aus dem Geschäftsbereich des ehemaligen Bundesministeriums für Jugend, Familie, Frauen und Gesundheit die Zuständigkeit für Familie und Soziales übertragen.</w:t>
      </w:r>
    </w:p>
    <w:p>
      <w:r>
        <w:rPr>
          <w:color w:val="555555"/>
          <w:sz w:val="17"/>
        </w:rPr>
        <w:t xml:space="preserve">Zitiervorschlag: II. BKOrgErl 1991-01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https://recht.nulegal.eu/gesetze/BKOrgErl%201991-01/ii.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