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I. BKOrgErl 1989</w:t>
      </w:r>
    </w:p>
    <w:p>
      <w:r>
        <w:rPr>
          <w:color w:val="555555"/>
          <w:sz w:val="18"/>
        </w:rPr>
        <w:t xml:space="preserve">Organisationserlaß des Bundeskanzlers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Bundesnachrichtendienst wird dem Chef des Bundeskanzleramtes unterstellt. Dessen Vertreter ist ein Staatssekretär oder ein Abteilungsleiter im Bundeskanzleramt.</w:t>
      </w:r>
    </w:p>
    <w:p>
      <w:r>
        <w:rPr>
          <w:color w:val="555555"/>
          <w:sz w:val="17"/>
        </w:rPr>
        <w:t xml:space="preserve">Zitiervorschlag: I. BKOrgErl 1989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https://recht.nulegal.eu/gesetze/BKOrgErl%201989/i.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