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(XXXX) BKOrgErl 1987</w:t>
      </w:r>
    </w:p>
    <w:p>
      <w:r>
        <w:rPr>
          <w:color w:val="555555"/>
          <w:sz w:val="18"/>
        </w:rPr>
        <w:t xml:space="preserve">Organisationserlaß des Bundeskanzlers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Dem Bundesminister für Jugend, Familie, Frauen und Gesundheit werden übertragen:</w:t>
      </w:r>
    </w:p>
    <w:p>
      <w:pPr>
        <w:ind w:left="420"/>
      </w:pPr>
      <w:r>
        <w:t xml:space="preserve">1. aus dem Geschäftsbereich des Bundesministers für Arbeit und Sozialordnung die Zuständigkeit für Mutterschutz</w:t>
      </w:r>
    </w:p>
    <w:p>
      <w:pPr>
        <w:ind w:left="420"/>
      </w:pPr>
      <w:r>
        <w:t xml:space="preserve">2. aus dem Geschäftsbereich des Bundesministers des Innern die allgemeine Zuständigkeit für Maßnahmen zur Verwirklichung der Gleichberechtigung, einschließlich der Frauenförderung in der Bundesverwaltung.</w:t>
      </w:r>
    </w:p>
    <w:p>
      <w:r>
        <w:t xml:space="preserve">Die Einzelheiten des Übergangs werden zwischen den beteiligten Bundesministern geregelt und dem Chef des Bundeskanzleramtes mitgeteilt.</w:t>
      </w:r>
    </w:p>
    <w:p>
      <w:r>
        <w:rPr>
          <w:color w:val="555555"/>
          <w:sz w:val="17"/>
        </w:rPr>
        <w:t xml:space="preserve">Zitiervorschlag: (XXXX) BKOrgErl 1987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https://recht.nulegal.eu/gesetze/BKOrgErl%201987/(xxxx)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(XXXX) BKOrgErl 1987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