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III. BKOrgErl 1986</w:t>
      </w:r>
    </w:p>
    <w:p>
      <w:r>
        <w:rPr>
          <w:color w:val="555555"/>
          <w:sz w:val="18"/>
        </w:rPr>
        <w:t xml:space="preserve">Organisationserlaß des Bundeskanzlers</w:t>
      </w:r>
    </w:p>
    <w:p>
      <w:r>
        <w:rPr>
          <w:color w:val="555555"/>
          <w:sz w:val="18"/>
        </w:rPr>
        <w:t xml:space="preserve">Stand: 10.06.2019 (konsolidierte Textfassung, kein amtliches Inkrafttretensdatum)</w:t>
      </w:r>
    </w:p>
    <w:p>
      <w:pPr>
        <w:ind w:left="420"/>
      </w:pPr>
      <w:r>
        <w:t xml:space="preserve">Das Bundesministerium für Jugend, Familie und Gesundheit wird zum Bundesministerium für Jugend, Familie, Frauen und Gesundheit umgebildet. Es erhält die Federführung für Frauenfragen einschließlich Gesetzgebungskompetenz. In einem ersten Schritt wird dazu aus dem Geschäftsbereich des Bundesministers für Arbeit und Sozialordnung die Zuständigkeit für Frau und Beruf auf den Bundesminister für Jugend, Familie, Frauen und Gesundheit übertragen.</w:t>
      </w:r>
    </w:p>
    <w:p>
      <w:r>
        <w:rPr>
          <w:color w:val="555555"/>
          <w:sz w:val="17"/>
        </w:rPr>
        <w:t xml:space="preserve">Zitiervorschlag: III. BKOrgErl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https://recht.nulegal.eu/gesetze/BKOrgErl%201986/iii.</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III. BKOrgErl 1986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