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II. BKOrgErl 1986</w:t>
      </w:r>
    </w:p>
    <w:p>
      <w:r>
        <w:rPr>
          <w:color w:val="555555"/>
          <w:sz w:val="18"/>
        </w:rPr>
        <w:t xml:space="preserve">Organisationserlaß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Dem Bundesminister für Umwelt, Naturschutz und Reaktorsicherheit werden übertragen:</w:t>
      </w:r>
    </w:p>
    <w:p>
      <w:pPr>
        <w:ind w:left="780"/>
      </w:pPr>
      <w:r>
        <w:t xml:space="preserve">1. aus dem Geschäftsbereich des Bundesministers des Innern die Zuständigkeiten für</w:t>
      </w:r>
    </w:p>
    <w:p>
      <w:pPr>
        <w:ind w:left="1140"/>
      </w:pPr>
      <w:r>
        <w:t xml:space="preserve">a) Umweltschutz,</w:t>
      </w:r>
    </w:p>
    <w:p>
      <w:pPr>
        <w:ind w:left="1140"/>
      </w:pPr>
      <w:r>
        <w:t xml:space="preserve">b) Sicherheit kerntechnischer Anlagen, Strahlenschutz,</w:t>
      </w:r>
    </w:p>
    <w:p>
      <w:pPr>
        <w:ind w:left="780"/>
      </w:pPr>
      <w:r>
        <w:t xml:space="preserve">2. aus dem Geschäftsbereich des Bundesministers für Ernährung, Landwirtschaft und Forsten die Zuständigkeit für Umwelt, Naturschutz,</w:t>
      </w:r>
    </w:p>
    <w:p>
      <w:pPr>
        <w:ind w:left="780"/>
      </w:pPr>
      <w:r>
        <w:t xml:space="preserve">3. aus dem Geschäftsbereich des Bundesministers für Jugend, Familie und Gesundheit die Zuständigkeiten für gesundheitliche Belange des Umweltschutzes, Strahlenhygiene, Rückstände von Schadstoffen in Lebensmitteln, Chemikalien.</w:t>
      </w:r>
    </w:p>
    <w:p>
      <w:r>
        <w:rPr>
          <w:color w:val="555555"/>
          <w:sz w:val="17"/>
        </w:rPr>
        <w:t xml:space="preserve">Zitiervorschlag: II. BKOrgErl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https://recht.nulegal.eu/gesetze/BKOrgErl%201986/ii.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II. BKOrgErl 1986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