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(XXXX) BKOrgErl 1986</w:t>
      </w:r>
    </w:p>
    <w:p>
      <w:r>
        <w:rPr>
          <w:color w:val="555555"/>
          <w:sz w:val="18"/>
        </w:rPr>
        <w:t xml:space="preserve">Organisationserlaß des Bundeskanzlers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Einzelheiten des Übergangs werden zwischen den beteiligten Bundesministern geregelt und dem Chef des Bundeskanzleramtes mitgeteilt.</w:t>
      </w:r>
    </w:p>
    <w:p>
      <w:r>
        <w:rPr>
          <w:color w:val="555555"/>
          <w:sz w:val="17"/>
        </w:rPr>
        <w:t xml:space="preserve">Zitiervorschlag: (XXXX) BKOrgErl 1986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https://recht.nulegal.eu/gesetze/BKOrgErl%201986/(xxxx)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