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II. BKOrgErl 1984</w:t>
      </w:r>
    </w:p>
    <w:p>
      <w:r>
        <w:rPr>
          <w:color w:val="555555"/>
          <w:sz w:val="18"/>
        </w:rPr>
        <w:t xml:space="preserve">Organisationserlaß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Staatssekretär beim Bundeskanzler und Beauftragten für die Nachrichtendienste ist der Bundesnachrichtendienst unterstellt.</w:t>
      </w:r>
    </w:p>
    <w:p>
      <w:r>
        <w:rPr>
          <w:color w:val="555555"/>
          <w:sz w:val="17"/>
        </w:rPr>
        <w:t xml:space="preserve">Zitiervorschlag: II. BKOrgErl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https://recht.nulegal.eu/gesetze/BKOrgErl%201984/ii.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