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 BKOrgErl 1984</w:t>
      </w:r>
    </w:p>
    <w:p>
      <w:r>
        <w:rPr>
          <w:color w:val="555555"/>
          <w:sz w:val="18"/>
        </w:rPr>
        <w:t xml:space="preserve">Organisationserlaß des Bundeskanzlers</w:t>
      </w:r>
    </w:p>
    <w:p>
      <w:r>
        <w:rPr>
          <w:color w:val="555555"/>
          <w:sz w:val="18"/>
        </w:rPr>
        <w:t xml:space="preserve">Stand: 10.06.2019 (konsolidierte Textfassung, kein amtliches Inkrafttretensdatum)</w:t>
      </w:r>
    </w:p>
    <w:p>
      <w:r>
        <w:t xml:space="preserve">Der Staatssekretär beim Bundeskanzler wird zum Beauftragten für die Nachrichtendienste bestellt. Er untersteht dem Bundeskanzler unmittelbar. Sein Vertreter ist ein Abteilungsleiter im Bundeskanzleramt. Dem Beauftragten ist zur Erfüllung seiner Aufgaben eine Abteilung des Bundeskanzleramtes fachaufsichtlich unterstellt.</w:t>
      </w:r>
    </w:p>
    <w:p>
      <w:r>
        <w:rPr>
          <w:color w:val="555555"/>
          <w:sz w:val="17"/>
        </w:rPr>
        <w:t xml:space="preserve">Zitiervorschlag: I. BKOrgErl 1984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https://recht.nulegal.eu/gesetze/BKOrgErl%201984/i.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 BKOrgErl 1984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