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BKOrgErl 1981</w:t>
      </w:r>
    </w:p>
    <w:p>
      <w:r>
        <w:rPr>
          <w:color w:val="555555"/>
          <w:sz w:val="18"/>
        </w:rPr>
        <w:t xml:space="preserve">Organisationserlaß des Bundeskanzlers</w:t>
      </w:r>
    </w:p>
    <w:p>
      <w:r>
        <w:rPr>
          <w:color w:val="555555"/>
          <w:sz w:val="18"/>
        </w:rPr>
        <w:t xml:space="preserve">Stand: 10.06.2019 (konsolidierte Textfassung, kein amtliches Inkrafttretensdatum)</w:t>
      </w:r>
    </w:p>
    <w:p>
      <w:r>
        <w:t xml:space="preserve">Dem Bundesminister für Jugend, Familie und Gesundheit wird aus dem Geschäftsbereich des Bundesministers für Arbeit und Sozialordnung die Zuständigkeit für den Zivildienst übertragen. Die Einzelheiten des Übergangs werden zwischen den beteiligten Bundesministern geregelt und dem Chef des Bundeskanzleramtes mitgeteilt.</w:t>
      </w:r>
    </w:p>
    <w:p>
      <w:r>
        <w:rPr>
          <w:color w:val="555555"/>
          <w:sz w:val="17"/>
        </w:rPr>
        <w:t xml:space="preserve">Zitiervorschlag: (XXXX) BKOrgErl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https://recht.nulegal.eu/gesetze/BKOrgErl%201981/(xxxx)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BKOrgErl 1981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