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BKOrgErl 1977</w:t>
      </w:r>
    </w:p>
    <w:p>
      <w:r>
        <w:rPr>
          <w:color w:val="555555"/>
          <w:sz w:val="18"/>
        </w:rPr>
        <w:t xml:space="preserve">Organisationserlaß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dem Geschäftsbereich des Bundesministers für Jugend, Familie und Gesundheit werden dem Bundesminister für Arbeit und Sozialordnung die Zuständigkeiten für folgende Bereiche übertragen: - Krankenhäuser sowie Technik in Medizin und Krankenhaus, - Gebührenrecht für Ärzte und übrige Gesundheitsberufe, - medizinische Rehabilitation. Die Einzelheiten des Übergangs werden zwischen den beteiligten Bundesministern geregelt und dem Chef des Bundeskanzleramtes mitgeteilt.</w:t>
      </w:r>
    </w:p>
    <w:p>
      <w:r>
        <w:rPr>
          <w:color w:val="555555"/>
          <w:sz w:val="17"/>
        </w:rPr>
        <w:t xml:space="preserve">Zitiervorschlag: I. BKOrgErl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https://recht.nulegal.eu/gesetze/BKOrgErl%201977/i.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