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BKMZustAnO</w:t>
      </w:r>
    </w:p>
    <w:p>
      <w:r>
        <w:rPr>
          <w:color w:val="555555"/>
          <w:sz w:val="18"/>
        </w:rPr>
        <w:t xml:space="preserve">BKM-Zuständigkeitsanordnung</w:t>
      </w:r>
    </w:p>
    <w:p>
      <w:r>
        <w:rPr>
          <w:color w:val="555555"/>
          <w:sz w:val="18"/>
        </w:rPr>
        <w:t xml:space="preserve">Stand: 20.01.2022 (konsolidierte Textfassung, kein amtliches Inkrafttretensdatum)</w:t>
      </w:r>
    </w:p>
    <w:p>
      <w:r>
        <w:t xml:space="preserve">Nach</w:t>
      </w:r>
    </w:p>
    <w:p>
      <w:pPr>
        <w:ind w:left="420"/>
      </w:pPr>
      <w:r>
        <w:t xml:space="preserve">– Artikel 1 Absatz 1 der Anordnung des Bundespräsidenten über die Ernennung und Entlassung der Beamtinnen, Beamten, Richterinnen und Richter des Bundes vom 23. Juni 2004 (BGBl. I S. 1286),</w:t>
      </w:r>
    </w:p>
    <w:p>
      <w:pPr>
        <w:ind w:left="420"/>
      </w:pPr>
      <w:r>
        <w:t xml:space="preserve">– § 126 Absatz 3 Satz 2 und § 127 Absatz 3 Satz 1 des Bundesbeamtengesetzes vom 5. Februar 2009 (BGBl. I S. 160),</w:t>
      </w:r>
    </w:p>
    <w:p>
      <w:pPr>
        <w:ind w:left="420"/>
      </w:pPr>
      <w:r>
        <w:t xml:space="preserve">– § 33 Absatz 5, § 34 Absatz 2 Satz 2, § 42 Absatz 1 Satz 2 und § 84 Satz 2 des Bundesdisziplinargesetzes vom 9. Juli 2001 (BGBl. I S. 1510)</w:t>
      </w:r>
    </w:p>
    <w:p>
      <w:r>
        <w:t xml:space="preserve">ordnet die Beauftragte der Bundesregierung für Kultur und Medien an:</w:t>
      </w:r>
    </w:p>
    <w:p>
      <w:r>
        <w:rPr>
          <w:color w:val="555555"/>
          <w:sz w:val="17"/>
        </w:rPr>
        <w:t xml:space="preserve">Zitiervorschlag: Eingangsformel BKMZustAnO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https://recht.nulegal.eu/gesetze/BKMZustAnO/eingangsformel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