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BKMZustAnO — Vorbehaltsklausel</w:t>
      </w:r>
    </w:p>
    <w:p>
      <w:r>
        <w:rPr>
          <w:color w:val="555555"/>
          <w:sz w:val="18"/>
        </w:rPr>
        <w:t xml:space="preserve">BKM-Zuständigkeitsanordnung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Die Beauftragte der Bundesregierung für Kultur und Medien behält sich vor, die Zuständigkeiten und Befugnisse nach den §§ 1 bis 4 im Einzelfall selbst wahrzunehmen.</w:t>
      </w:r>
    </w:p>
    <w:p>
      <w:r>
        <w:rPr>
          <w:color w:val="555555"/>
          <w:sz w:val="17"/>
        </w:rPr>
        <w:t xml:space="preserve">Zitiervorschlag: § 5 BKMZustAnO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https://recht.nulegal.eu/gesetze/BKMZustAnO/5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