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BKMZustAnO — Befugnisse nach dem Bundesdisziplinargesetz</w:t>
      </w:r>
    </w:p>
    <w:p>
      <w:r>
        <w:rPr>
          <w:color w:val="555555"/>
          <w:sz w:val="18"/>
        </w:rPr>
        <w:t xml:space="preserve">BKM-Zuständigkeitsanordnung</w:t>
      </w:r>
    </w:p>
    <w:p>
      <w:r>
        <w:rPr>
          <w:color w:val="555555"/>
          <w:sz w:val="18"/>
        </w:rPr>
        <w:t xml:space="preserve">Stand: 20.01.2022 (konsolidierte Textfassung, kein amtliches Inkrafttretensdatum)</w:t>
      </w:r>
    </w:p>
    <w:p>
      <w:r>
        <w:t xml:space="preserve">Den in § 1 genannten Behördenleiterinnen und Behördenleitern werden für den jeweiligen Geschäftsbereich widerruflich übertragen:</w:t>
      </w:r>
    </w:p>
    <w:p>
      <w:pPr>
        <w:ind w:left="420"/>
      </w:pPr>
      <w:r>
        <w:t xml:space="preserve">1. die Befugnis zur Kürzung der Dienstbezüge bis zum Höchstmaß (§ 33 Absatz 3 Nummer 1 des Bundesdisziplinargesetzes),</w:t>
      </w:r>
    </w:p>
    <w:p>
      <w:pPr>
        <w:ind w:left="420"/>
      </w:pPr>
      <w:r>
        <w:t xml:space="preserve">2. die Befugnis zur Erhebung der Disziplinarklage (§ 34 Absatz 2 Satz 1 des Bundesdisziplinargesetzes), soweit ihnen nach § 1 die Befugnis zur Ernennung und Entlassung von Beamtinnen und Beamten übertragen worden ist,</w:t>
      </w:r>
    </w:p>
    <w:p>
      <w:pPr>
        <w:ind w:left="420"/>
      </w:pPr>
      <w:r>
        <w:t xml:space="preserve">3. die Ausübung der Disziplinarbefugnisse bei Ruhestandsbeamtinnen und Ruhestandsbeamten (§ 84 Satz 1 des Bundesdisziplinargesetzes).</w:t>
      </w:r>
    </w:p>
    <w:p>
      <w:r>
        <w:rPr>
          <w:color w:val="555555"/>
          <w:sz w:val="17"/>
        </w:rPr>
        <w:t xml:space="preserve">Zitiervorschlag: § 4 BKMZustAnO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https://recht.nulegal.eu/gesetze/BKMZustAnO/4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