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BKMZustAnO — Vertretung bei Klagen</w:t>
      </w:r>
    </w:p>
    <w:p>
      <w:r>
        <w:rPr>
          <w:color w:val="555555"/>
          <w:sz w:val="18"/>
        </w:rPr>
        <w:t xml:space="preserve">BKM-Zuständigkeitsanordnung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(1) Die Vertretung der Bundesrepublik Deutschland bei Klagen aus dem Beamtenverhältnis wird den Leiterinnen und Leitern der in § 2 Satz 1 und 4 genannten Behörden übertragen, soweit diese Behörden nach § 2 Satz 1, auch in Verbindung mit § 2 Satz 4, für den Erlass des Widerspruchsbescheids zuständig sind.</w:t>
      </w:r>
    </w:p>
    <w:p>
      <w:r>
        <w:t xml:space="preserve">(2) Die Vertretung der Bundesrepublik Deutschland bei Klagen von Beamtinnen und Beamten in disziplinarrechtlichen Angelegenheiten wird den in § 1 genannten Behördenleiterinnen und Behördenleitern übertragen, soweit ihnen die Befugnis zur Ernennung und Entlassung von Beamtinnen und Beamten übertragen ist.</w:t>
      </w:r>
    </w:p>
    <w:p>
      <w:r>
        <w:rPr>
          <w:color w:val="555555"/>
          <w:sz w:val="17"/>
        </w:rPr>
        <w:t xml:space="preserve">Zitiervorschlag: § 3 BKMZustAnO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https://recht.nulegal.eu/gesetze/BKMZustAnO/3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