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BKMErnAnO</w:t>
      </w:r>
    </w:p>
    <w:p>
      <w:r>
        <w:rPr>
          <w:color w:val="555555"/>
          <w:sz w:val="18"/>
        </w:rPr>
        <w:t xml:space="preserve">Anordnung über die Ernennung und Entlassung der Bundesbeamtinnen und Bundesbeamten im Geschäftsbereich der Beauftragten der Bundesregierung für Kultur und Medien</w:t>
      </w:r>
    </w:p>
    <w:p>
      <w:r>
        <w:rPr>
          <w:color w:val="555555"/>
          <w:sz w:val="18"/>
        </w:rPr>
        <w:t xml:space="preserve">Historische Fassung: Stand 10.06.2019 bis 20.01.2022. Dies ist nicht die aktuelle Fassung.</w:t>
      </w:r>
    </w:p>
    <w:p>
      <w:r>
        <w:t xml:space="preserve">Die Beauftragte der Bundesregierung für Kultur und Medien</w:t>
      </w:r>
    </w:p>
    <w:p>
      <w:r>
        <w:rPr>
          <w:color w:val="555555"/>
          <w:sz w:val="17"/>
        </w:rPr>
        <w:t xml:space="preserve">Zitiervorschlag: Schlussformel BKMErnAnO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https://recht.nulegal.eu/gesetze/BKMErnAnO/schlussformel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