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(XXXX) BKMBek</w:t>
      </w:r>
    </w:p>
    <w:p>
      <w:r>
        <w:rPr>
          <w:color w:val="555555"/>
          <w:sz w:val="18"/>
        </w:rPr>
        <w:t xml:space="preserve">Bekanntmachung der Bezeichnung der Beauftragten der Bundesregierung für Kultur und Medien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 Ziffer IV des Organisationserlasses vom 27. Oktober 1998 (BGBl. I S. 3288) geschaffene oberste Bundesbehörde im Geschäftsbereich des Bundeskanzlers führt seit dem 22. Oktober 2002 die Bezeichnung "Die Beauftragte der Bundesregierung für Kultur und Medien".</w:t>
      </w:r>
    </w:p>
    <w:p>
      <w:r>
        <w:t xml:space="preserve">Der Chef des Bundeskanzleramtes</w:t>
      </w:r>
    </w:p>
    <w:p>
      <w:r>
        <w:rPr>
          <w:color w:val="555555"/>
          <w:sz w:val="17"/>
        </w:rPr>
        <w:t xml:space="preserve">Zitiervorschlag: (XXXX) BKMBek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https://recht.nulegal.eu/gesetze/BKMBek/(xxxx)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