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BKMBGebV</w:t>
      </w:r>
    </w:p>
    <w:p>
      <w:r>
        <w:rPr>
          <w:color w:val="555555"/>
          <w:sz w:val="18"/>
        </w:rPr>
        <w:t xml:space="preserve">Besondere Gebührenverordnung BKM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Auf Grund des § 22 Absatz 4 Satz 1 in Verbindung mit Absatz 1 Satz 2 und 3 des Bundesgebührengesetzes vom 7. August 2013 (BGBl. I S. 3154) und in Verbindung mit dem Organisationserlass vom 27. Oktober 1998 (BGBl. I S. 3288) verordnet die Bundeskanzlerin:</w:t>
      </w:r>
    </w:p>
    <w:p>
      <w:r>
        <w:rPr>
          <w:color w:val="555555"/>
          <w:sz w:val="17"/>
        </w:rPr>
        <w:t xml:space="preserve">Zitiervorschlag: Eingangsformel BKMBGebV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